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Czech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Hybrid Session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3 April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Location: Czech Republic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Sál architektů, Staroměstská radnice, Prague, 1  | Online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/>
      <w:hyperlink r:id="rId8" w:history="1">
        <w:r>
          <w:rPr/>
          <w:t xml:space="preserve">Union of Towns and Municipalities of the Czech Republic (SMO CR)</w:t>
        </w:r>
      </w:hyperlink>
      <w:r>
        <w:rPr/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/>
      <w:r>
        <w:rPr/>
        <w:t xml:space="preserve">We are pleased to invite you to participate in our hybrid event on the 3rd of April 2025 at 9:30 at Sál architektů, Staroměstská radnice, Praha 1 | Online thanks to the support of </w:t>
      </w:r>
      <w:hyperlink r:id="rId8" w:history="1">
        <w:r>
          <w:rPr/>
          <w:t xml:space="preserve">Union of Towns and Municipalities of the Czech Republic (SMO CR)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Prague, but online participation will also be possible. The streaming link will be shared with those who register in advance.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union-towns-and-municipalities-czech-republic-smo-cr" TargetMode="External"/><Relationship Id="rId9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2026-07-07T16:43:49+02:00</dcterms:created>
  <dcterms:modified xsi:type="dcterms:W3CDTF">2026-07-07T16:43:49+02:00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