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, Helvetica, sans-serif;" w:hAnsi="Arial, Helvetica, sans-serif;" w:eastAsia="Arial, Helvetica, sans-serif;" w:cs="Arial, Helvetica, sans-serif;"/>
          <w:color w:val="000000"/>
          <w:sz w:val="48"/>
          <w:szCs w:val="48"/>
          <w:b w:val="1"/>
          <w:bCs w:val="1"/>
        </w:rPr>
        <w:t xml:space="preserve">Procurement initiatives and criteria for achieving sustainability and social goals </w:t>
      </w:r>
    </w:p>
    <w:p>
      <w:pPr/>
    </w:p>
    <w:sectPr>
      <w:pgSz w:orient="portrait" w:w="11905.511811023622" w:h="16837.79527559055"/>
      <w:pgMar w:top="150" w:right="150" w:bottom="150" w:left="15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2026-06-07T19:41:22+02:00</dcterms:created>
  <dcterms:modified xsi:type="dcterms:W3CDTF">2026-06-07T19:41:22+02:00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