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Towards an EU Roadmap for an inclusive and sustainable CitiVerse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CitiVerse integrates the physical and digital cityscape, enabling real-time interactions for urban planners and citizens to make informed decisions that enhance city services.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report </w:t>
      </w:r>
      <w:hyperlink r:id="rId7" w:history="1">
        <w:r>
          <w:rPr>
            <w:b w:val="1"/>
            <w:bCs w:val="1"/>
          </w:rPr>
          <w:t xml:space="preserve">EU pre-standardisation roadmap for an inclusive and sustainable CitiVerse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is the result of the contribution by several experts, as well as  an open consultation with the Living-in.EU community members and beyond.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It highlights the 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enabling technologies and key principles</w:t>
      </w:r>
      <w:r>
        <w:rPr>
          <w:rFonts w:ascii="Arial" w:hAnsi="Arial" w:eastAsia="Arial" w:cs="Arial"/>
          <w:color w:val="000"/>
          <w:sz w:val="18"/>
          <w:szCs w:val="18"/>
        </w:rPr>
        <w:t xml:space="preserve">, such as openness and security, firmly rooted in EU values.</w:t>
      </w:r>
      <w:br/>
      <w:r>
        <w:rPr>
          <w:rFonts w:ascii="Arial" w:hAnsi="Arial" w:eastAsia="Arial" w:cs="Arial"/>
          <w:color w:val="000"/>
          <w:sz w:val="18"/>
          <w:szCs w:val="18"/>
        </w:rPr>
        <w:t xml:space="preserve">The ultimate goal is to guide 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governments, standardization organizations, and technology companies</w:t>
      </w:r>
      <w:r>
        <w:rPr>
          <w:rFonts w:ascii="Arial" w:hAnsi="Arial" w:eastAsia="Arial" w:cs="Arial"/>
          <w:color w:val="000"/>
          <w:sz w:val="18"/>
          <w:szCs w:val="18"/>
        </w:rPr>
        <w:t xml:space="preserve"> in developing human-centric technologies for future standardisation endeavours.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living-in.eu/knowledge-base/eu-pre-standardisation-roadmap-inclusive-and-sustainable-citiverse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2026-11-05T01:29:56+01:00</dcterms:created>
  <dcterms:modified xsi:type="dcterms:W3CDTF">2026-11-05T01:29:56+01:00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