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Handbook for Urban Living Labs Developing Nature-Based Solutions</w:t>
      </w:r>
    </w:p>
    <w:p>
      <w:pPr/>
    </w:p>
    <w:p>
      <w:pPr>
        <w:spacing w:line="288" w:lineRule="auto"/>
      </w:pPr>
      <w:r>
        <w:rPr>
          <w:rFonts w:ascii="Arial" w:hAnsi="Arial" w:eastAsia="Arial" w:cs="Arial"/>
          <w:color w:val="000"/>
          <w:sz w:val="18"/>
          <w:szCs w:val="18"/>
        </w:rPr>
        <w:t xml:space="preserve">With this handbook, you can learn how to develop an Urban Living Lab, based on the experiences, research and practical experience from the UNaLab project. The tips included here are given by the Living Lab experts who have successfully set up a Living Lab in their own community. You will learn what questions need to be asked, who is working in a Living Lab and what obstacles you need to watch out for! At the end of the handbook, you will find an interactive tool to guide you through your Living Lab journey. In this handbook, the focus is on Urban Living Labs – meaning Living Labs operating within an urban setting (in a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2026-10-11T15:44:27+02:00</dcterms:created>
  <dcterms:modified xsi:type="dcterms:W3CDTF">2026-10-11T15:44:27+02:00</dcterms:modified>
</cp:coreProperties>
</file>

<file path=docProps/custom.xml><?xml version="1.0" encoding="utf-8"?>
<Properties xmlns="http://schemas.openxmlformats.org/officeDocument/2006/custom-properties" xmlns:vt="http://schemas.openxmlformats.org/officeDocument/2006/docPropsVTypes"/>
</file>