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Designing digital public infrastructure for future cities</w:t>
      </w:r>
    </w:p>
    <w:p>
      <w:pPr/>
    </w:p>
    <w:p>
      <w:pPr>
        <w:spacing w:line="288" w:lineRule="auto"/>
      </w:pPr>
      <w:r>
        <w:rPr>
          <w:rFonts w:ascii="Arial" w:hAnsi="Arial" w:eastAsia="Arial" w:cs="Arial"/>
          <w:color w:val="000"/>
          <w:sz w:val="18"/>
          <w:szCs w:val="18"/>
        </w:rPr>
        <w:t xml:space="preserve">The 1st UN Citiverse Challenge invites </w:t>
      </w:r>
      <w:r>
        <w:rPr>
          <w:rFonts w:ascii="Arial" w:hAnsi="Arial" w:eastAsia="Arial" w:cs="Arial"/>
          <w:color w:val="000"/>
          <w:sz w:val="18"/>
          <w:szCs w:val="18"/>
          <w:b w:val="1"/>
          <w:bCs w:val="1"/>
        </w:rPr>
        <w:t xml:space="preserve">students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startups </w:t>
      </w:r>
      <w:r>
        <w:rPr>
          <w:rFonts w:ascii="Arial" w:hAnsi="Arial" w:eastAsia="Arial" w:cs="Arial"/>
          <w:color w:val="000"/>
          <w:sz w:val="18"/>
          <w:szCs w:val="18"/>
        </w:rPr>
        <w:t xml:space="preserve">to reimagine and design innovative solutions that leverage the transformative potential of the citiverse and digital public infrastructure to address pressing global challenges. By focusing on three critical themes—access to public services, sustainability and resilience, and tourism and digital culture—participants will develop bold ideas and prototypes to shape the cities of tomorrow.</w:t>
      </w:r>
    </w:p>
    <w:p>
      <w:pPr>
        <w:spacing w:line="288" w:lineRule="auto"/>
      </w:pPr>
      <w:r>
        <w:rPr>
          <w:rFonts w:ascii="Arial" w:hAnsi="Arial" w:eastAsia="Arial" w:cs="Arial"/>
          <w:color w:val="000"/>
          <w:sz w:val="18"/>
          <w:szCs w:val="18"/>
        </w:rPr>
        <w:t xml:space="preserve">The UN Citiverse Challenge is directly aligned with the vision of the Pact for the Future and the principles of the Global Digital Compact (GDC), emphasizing inclusive, sustainable, and equitable approaches to digital transformation. Participants have the opportunity to lead the way in advancing the GDC’s goals by exploring how cutting-edge technologies can foster a more connected and resilient world.</w:t>
      </w:r>
    </w:p>
    <w:p>
      <w:pPr>
        <w:spacing w:line="288" w:lineRule="auto"/>
      </w:pPr>
      <w:r>
        <w:rPr>
          <w:rFonts w:ascii="Arial" w:hAnsi="Arial" w:eastAsia="Arial" w:cs="Arial"/>
          <w:color w:val="000"/>
          <w:sz w:val="18"/>
          <w:szCs w:val="18"/>
        </w:rPr>
        <w:t xml:space="preserve">This challenge champions a transformative approach to urban innovation, harnessing digital public infrastructure alongside technologies such as AI, metaverse, digital twins, and open-source solutions to reimagine cities as inclusive, resilient, and sustainable hubs of progress.</w:t>
      </w:r>
    </w:p>
    <w:p>
      <w:pPr>
        <w:spacing w:line="288" w:lineRule="auto"/>
      </w:pPr>
      <w:r>
        <w:rPr>
          <w:rFonts w:ascii="Arial" w:hAnsi="Arial" w:eastAsia="Arial" w:cs="Arial"/>
          <w:color w:val="000"/>
          <w:sz w:val="18"/>
          <w:szCs w:val="18"/>
        </w:rPr>
        <w:t xml:space="preserve">This challenge is a call to action for visionaries, innovators, and changemakers to collaborate in building an equitable and sustainable digital future. Join the 1st UN Citiverse Challenge and help redefine the digital public infrastructure of future cities in alignment with global priorities outlined in the Pact for the Future and the Global Digital Compact.</w:t>
      </w:r>
    </w:p>
    <w:p>
      <w:pPr>
        <w:spacing w:line="288" w:lineRule="auto"/>
      </w:pPr>
      <w:r>
        <w:rPr>
          <w:rFonts w:ascii="Arial" w:hAnsi="Arial" w:eastAsia="Arial" w:cs="Arial"/>
          <w:color w:val="000"/>
          <w:sz w:val="18"/>
          <w:szCs w:val="18"/>
        </w:rPr>
        <w:t xml:space="preserve">Let’s shape the citiverse—a future where technology bridges divides and empowers all.</w:t>
      </w:r>
    </w:p>
    <w:p>
      <w:pPr>
        <w:spacing w:line="288" w:lineRule="auto"/>
      </w:pPr>
      <w:r>
        <w:rPr>
          <w:rFonts w:ascii="Arial" w:hAnsi="Arial" w:eastAsia="Arial" w:cs="Arial"/>
          <w:color w:val="000"/>
          <w:sz w:val="18"/>
          <w:szCs w:val="18"/>
        </w:rPr>
        <w:t xml:space="preserve">Find out more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metaverse/virtual-worlds/1st-un-citivers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2026-10-05T03:53:08+02:00</dcterms:created>
  <dcterms:modified xsi:type="dcterms:W3CDTF">2026-10-05T03:53:08+02:00</dcterms:modified>
</cp:coreProperties>
</file>

<file path=docProps/custom.xml><?xml version="1.0" encoding="utf-8"?>
<Properties xmlns="http://schemas.openxmlformats.org/officeDocument/2006/custom-properties" xmlns:vt="http://schemas.openxmlformats.org/officeDocument/2006/docPropsVTypes"/>
</file>