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origins, developments, and future perspectives</w:t>
      </w:r>
    </w:p>
    <w:p>
      <w:pPr/>
    </w:p>
    <w:p>
      <w:pPr>
        <w:spacing w:line="288" w:lineRule="auto"/>
      </w:pPr>
      <w:r>
        <w:rPr>
          <w:rFonts w:ascii="Arial" w:hAnsi="Arial" w:eastAsia="Arial" w:cs="Arial"/>
          <w:color w:val="000"/>
          <w:sz w:val="18"/>
          <w:szCs w:val="18"/>
        </w:rPr>
        <w:t xml:space="preserve">European Network of Living Labs, Schuurman, D., DeLosRíos-White, M. I., &amp; Desole, M. (2025). Living Lab origins, developments, and future perspectives. Zenodo. </w:t>
      </w:r>
      <w:hyperlink r:id="rId7" w:history="1">
        <w:r>
          <w:rPr/>
          <w:t xml:space="preserve">https://doi.org/10.5281/zenodo.14764597</w:t>
        </w:r>
      </w:hyperlink>
    </w:p>
    <w:p>
      <w:pPr>
        <w:spacing w:line="288" w:lineRule="auto"/>
      </w:pPr>
      <w:r>
        <w:rPr>
          <w:rFonts w:ascii="Arial" w:hAnsi="Arial" w:eastAsia="Arial" w:cs="Arial"/>
          <w:color w:val="000"/>
          <w:sz w:val="18"/>
          <w:szCs w:val="18"/>
        </w:rPr>
        <w:t xml:space="preserve">This booklet provides a comprehensive introduction to the origins, evolution, and future outlook of the Living Lab movement. It has been created to guide readers through the development of Living Labs over the years and highlight the path ahead.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281/zenodo.14764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2026-08-12T11:28:19+02:00</dcterms:created>
  <dcterms:modified xsi:type="dcterms:W3CDTF">2026-08-12T11:28:19+02:00</dcterms:modified>
</cp:coreProperties>
</file>

<file path=docProps/custom.xml><?xml version="1.0" encoding="utf-8"?>
<Properties xmlns="http://schemas.openxmlformats.org/officeDocument/2006/custom-properties" xmlns:vt="http://schemas.openxmlformats.org/officeDocument/2006/docPropsVTypes"/>
</file>