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Interoperable Europe Academy</w:t>
      </w:r>
    </w:p>
    <w:p>
      <w:pPr/>
    </w:p>
    <w:p>
      <w:pPr>
        <w:spacing w:line="288" w:lineRule="auto"/>
      </w:pPr>
      <w:r>
        <w:rPr>
          <w:rFonts w:ascii="Arial" w:hAnsi="Arial" w:eastAsia="Arial" w:cs="Arial"/>
          <w:color w:val="000"/>
          <w:sz w:val="18"/>
          <w:szCs w:val="18"/>
        </w:rPr>
        <w:t xml:space="preserve">Explore the Interoperable Europe Academy Collection </w:t>
      </w:r>
      <w:hyperlink r:id="rId7" w:history="1">
        <w:r>
          <w:rPr/>
          <w:t xml:space="preserve">here</w:t>
        </w:r>
      </w:hyperlink>
      <w:r>
        <w:rPr>
          <w:rFonts w:ascii="Arial" w:hAnsi="Arial" w:eastAsia="Arial" w:cs="Arial"/>
          <w:color w:val="000"/>
          <w:sz w:val="18"/>
          <w:szCs w:val="18"/>
        </w:rPr>
        <w:t xml:space="preserve">. The Academy offers currently 34 e-learning courses, and 10 categories in its curriculum. It is aimed for Public sector officials, IT professionals, policy makers, and stakeholders involved in digital governance and public administration.</w:t>
      </w:r>
    </w:p>
    <w:p>
      <w:pPr>
        <w:spacing w:line="288" w:lineRule="auto"/>
      </w:pPr>
      <w:r>
        <w:rPr>
          <w:rFonts w:ascii="Arial" w:hAnsi="Arial" w:eastAsia="Arial" w:cs="Arial"/>
          <w:color w:val="000"/>
          <w:sz w:val="18"/>
          <w:szCs w:val="18"/>
        </w:rPr>
        <w:t xml:space="preserve">The academy offers online courses, webinars, workshops, and a repository of learning materials.</w:t>
      </w:r>
    </w:p>
    <w:p>
      <w:pPr>
        <w:spacing w:line="288" w:lineRule="auto"/>
      </w:pPr>
      <w:r>
        <w:rPr>
          <w:rFonts w:ascii="Arial" w:hAnsi="Arial" w:eastAsia="Arial" w:cs="Arial"/>
          <w:color w:val="000"/>
          <w:sz w:val="18"/>
          <w:szCs w:val="18"/>
        </w:rPr>
        <w:t xml:space="preserve">The courses are published on the </w:t>
      </w:r>
      <w:hyperlink r:id="rId8" w:history="1">
        <w:r>
          <w:rPr/>
          <w:t xml:space="preserve">EU Academy platform</w:t>
        </w:r>
      </w:hyperlink>
      <w:r>
        <w:rPr>
          <w:rFonts w:ascii="Arial" w:hAnsi="Arial" w:eastAsia="Arial" w:cs="Arial"/>
          <w:color w:val="000"/>
          <w:sz w:val="18"/>
          <w:szCs w:val="18"/>
        </w:rPr>
        <w:t xml:space="preserve">, which requires registration. All the materials of the courses produced by the Interoperable Europe Academy are available for reuse for academies with their own LMS and they can be found on each course's solution on this platform. You can find them by typing the course's name on the search function.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interoperable-europe.ec.europa.eu/collection/interoperable-europe-academy" TargetMode="External"/><Relationship Id="rId8" Type="http://schemas.openxmlformats.org/officeDocument/2006/relationships/hyperlink" Target="https://academy.europa.eu/local/euacademy/pages/course/community-overview.php?title=interoperable-europe-academy-commun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2026-10-11T15:44:33+02:00</dcterms:created>
  <dcterms:modified xsi:type="dcterms:W3CDTF">2026-10-11T15:44:33+02:00</dcterms:modified>
</cp:coreProperties>
</file>

<file path=docProps/custom.xml><?xml version="1.0" encoding="utf-8"?>
<Properties xmlns="http://schemas.openxmlformats.org/officeDocument/2006/custom-properties" xmlns:vt="http://schemas.openxmlformats.org/officeDocument/2006/docPropsVTypes"/>
</file>