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guidelines</w:t>
      </w:r>
    </w:p>
    <w:p>
      <w:pPr/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Procurement guidelines provide support to ensure alignment with EU standards around five main areas: template guidance, template development, market engagement, evaluation and award, funding and financing: </w:t>
      </w:r>
    </w:p>
    <w:tbl>
      <w:tblGrid>
        <w:gridCol/>
        <w:gridCol/>
      </w:tblGrid>
      <w:tblPr>
        <w:tblW w:w="0" w:type="auto"/>
        <w:tblLayout w:type="autofit"/>
        <w:bidiVisual w:val="0"/>
      </w:tblP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Templates Guidance</w:t>
            </w:r>
          </w:p>
        </w:tc>
        <w:tc>
          <w:tcPr/>
          <w:p>
            <w:pPr>
              <w:spacing w:line="288" w:lineRule="auto"/>
            </w:pPr>
            <w:hyperlink r:id="rId7" w:history="1">
              <w:r>
                <w:rPr/>
                <w:t xml:space="preserve">How to use the templates and guidelines</w:t>
              </w:r>
            </w:hyperlink>
          </w:p>
          <w:p>
            <w:pPr>
              <w:spacing w:line="288" w:lineRule="auto"/>
            </w:pPr>
            <w:hyperlink r:id="rId8" w:history="1">
              <w:r>
                <w:rPr/>
                <w:t xml:space="preserve">Guidance on selection of objects of procurement and templates</w:t>
              </w:r>
            </w:hyperlink>
          </w:p>
          <w:p>
            <w:pPr>
              <w:spacing w:line="288" w:lineRule="auto"/>
            </w:pPr>
            <w:hyperlink r:id="rId9" w:history="1">
              <w:r>
                <w:rPr/>
                <w:t xml:space="preserve">Criteria and considerations to use the procurement templates</w:t>
              </w:r>
            </w:hyperlink>
          </w:p>
          <w:p>
            <w:pPr>
              <w:spacing w:line="288" w:lineRule="auto"/>
            </w:pPr>
            <w:hyperlink r:id="rId10" w:history="1">
              <w:r>
                <w:rPr/>
                <w:t xml:space="preserve">Identifying the appropriate user profile</w:t>
              </w:r>
            </w:hyperlink>
          </w:p>
          <w:p>
            <w:pPr>
              <w:spacing w:line="288" w:lineRule="auto"/>
            </w:pPr>
            <w:hyperlink r:id="rId11" w:history="1">
              <w:r>
                <w:rPr/>
                <w:t xml:space="preserve">An illustrative city's procurement journey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Templates Development</w:t>
            </w:r>
          </w:p>
        </w:tc>
        <w:tc>
          <w:tcPr/>
          <w:p>
            <w:pPr>
              <w:spacing w:line="288" w:lineRule="auto"/>
            </w:pPr>
            <w:hyperlink r:id="rId12" w:history="1">
              <w:r>
                <w:rPr/>
                <w:t xml:space="preserve">Guidance on needs identification</w:t>
              </w:r>
            </w:hyperlink>
          </w:p>
          <w:p>
            <w:pPr>
              <w:spacing w:line="288" w:lineRule="auto"/>
            </w:pPr>
            <w:hyperlink r:id="rId13" w:history="1">
              <w:r>
                <w:rPr/>
                <w:t xml:space="preserve">The EU legal framework on public procurement</w:t>
              </w:r>
            </w:hyperlink>
          </w:p>
          <w:p>
            <w:pPr>
              <w:spacing w:line="288" w:lineRule="auto"/>
            </w:pPr>
            <w:hyperlink r:id="rId14" w:history="1">
              <w:r>
                <w:rPr/>
                <w:t xml:space="preserve">The EU legal framework on digital products and services relevant to LDTs</w:t>
              </w:r>
            </w:hyperlink>
          </w:p>
          <w:p>
            <w:pPr>
              <w:spacing w:line="288" w:lineRule="auto"/>
            </w:pPr>
            <w:hyperlink r:id="rId15" w:history="1">
              <w:r>
                <w:rPr/>
                <w:t xml:space="preserve">Technical specifications interpreting and tailoring</w:t>
              </w:r>
            </w:hyperlink>
          </w:p>
          <w:p>
            <w:pPr>
              <w:spacing w:line="288" w:lineRule="auto"/>
            </w:pPr>
            <w:hyperlink r:id="rId16" w:history="1">
              <w:r>
                <w:rPr/>
                <w:t xml:space="preserve">Artificial Intelligence and Machine Learning (AI/ML)</w:t>
              </w:r>
            </w:hyperlink>
          </w:p>
          <w:p>
            <w:pPr>
              <w:spacing w:line="288" w:lineRule="auto"/>
            </w:pPr>
            <w:hyperlink r:id="rId17" w:history="1">
              <w:r>
                <w:rPr/>
                <w:t xml:space="preserve">Innovation procurement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Market Engagement</w:t>
            </w:r>
          </w:p>
        </w:tc>
        <w:tc>
          <w:tcPr/>
          <w:p>
            <w:pPr>
              <w:spacing w:line="288" w:lineRule="auto"/>
            </w:pPr>
            <w:hyperlink r:id="rId18" w:history="1">
              <w:r>
                <w:rPr/>
                <w:t xml:space="preserve">Information on how to encourage the participation of SMEs</w:t>
              </w:r>
            </w:hyperlink>
          </w:p>
          <w:p>
            <w:pPr>
              <w:spacing w:line="288" w:lineRule="auto"/>
            </w:pPr>
            <w:hyperlink r:id="rId19" w:history="1">
              <w:r>
                <w:rPr/>
                <w:t xml:space="preserve">Procurement initiatives and criteria for achieving sustainability and social goals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Evaluation &amp; Award</w:t>
            </w:r>
          </w:p>
        </w:tc>
        <w:tc>
          <w:tcPr/>
          <w:p>
            <w:pPr>
              <w:spacing w:line="288" w:lineRule="auto"/>
            </w:pPr>
            <w:hyperlink r:id="rId20" w:history="1">
              <w:r>
                <w:rPr/>
                <w:t xml:space="preserve">Effective procurement evaluation processes and negotiations</w:t>
              </w:r>
            </w:hyperlink>
          </w:p>
          <w:p>
            <w:pPr>
              <w:spacing w:line="288" w:lineRule="auto"/>
            </w:pPr>
            <w:hyperlink r:id="rId21" w:history="1">
              <w:r>
                <w:rPr/>
                <w:t xml:space="preserve">Conditionalities definition, contractualisation and quality assurance</w:t>
              </w:r>
            </w:hyperlink>
          </w:p>
          <w:p>
            <w:pPr>
              <w:spacing w:line="288" w:lineRule="auto"/>
            </w:pPr>
            <w:hyperlink r:id="rId22" w:history="1">
              <w:r>
                <w:rPr/>
                <w:t xml:space="preserve">Compliance with MIMs, standards, specifications and certifications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Funding &amp; Financing</w:t>
            </w:r>
          </w:p>
        </w:tc>
        <w:tc>
          <w:tcPr/>
          <w:p>
            <w:pPr>
              <w:spacing w:line="288" w:lineRule="auto"/>
            </w:pPr>
            <w:hyperlink r:id="rId23" w:history="1">
              <w:r>
                <w:rPr/>
                <w:t xml:space="preserve">Guidance on EU support and finance</w:t>
              </w:r>
            </w:hyperlink>
          </w:p>
        </w:tc>
      </w:tr>
    </w:tbl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node/1250" TargetMode="External"/><Relationship Id="rId8" Type="http://schemas.openxmlformats.org/officeDocument/2006/relationships/hyperlink" Target="/node/1186" TargetMode="External"/><Relationship Id="rId9" Type="http://schemas.openxmlformats.org/officeDocument/2006/relationships/hyperlink" Target="/node/1235" TargetMode="External"/><Relationship Id="rId10" Type="http://schemas.openxmlformats.org/officeDocument/2006/relationships/hyperlink" Target="/node/1236" TargetMode="External"/><Relationship Id="rId11" Type="http://schemas.openxmlformats.org/officeDocument/2006/relationships/hyperlink" Target="https://living-in.eu/eu-support-services/procurement-support-materials/illustrative-citys-procurement-journey" TargetMode="External"/><Relationship Id="rId12" Type="http://schemas.openxmlformats.org/officeDocument/2006/relationships/hyperlink" Target="/node/1237" TargetMode="External"/><Relationship Id="rId13" Type="http://schemas.openxmlformats.org/officeDocument/2006/relationships/hyperlink" Target="/node/1240" TargetMode="External"/><Relationship Id="rId14" Type="http://schemas.openxmlformats.org/officeDocument/2006/relationships/hyperlink" Target="/node/1241" TargetMode="External"/><Relationship Id="rId15" Type="http://schemas.openxmlformats.org/officeDocument/2006/relationships/hyperlink" Target="/node/1242" TargetMode="External"/><Relationship Id="rId16" Type="http://schemas.openxmlformats.org/officeDocument/2006/relationships/hyperlink" Target="/node/1243" TargetMode="External"/><Relationship Id="rId17" Type="http://schemas.openxmlformats.org/officeDocument/2006/relationships/hyperlink" Target="/node/1244" TargetMode="External"/><Relationship Id="rId18" Type="http://schemas.openxmlformats.org/officeDocument/2006/relationships/hyperlink" Target="/node/1187" TargetMode="External"/><Relationship Id="rId19" Type="http://schemas.openxmlformats.org/officeDocument/2006/relationships/hyperlink" Target="/node/1245" TargetMode="External"/><Relationship Id="rId20" Type="http://schemas.openxmlformats.org/officeDocument/2006/relationships/hyperlink" Target="/node/1246" TargetMode="External"/><Relationship Id="rId21" Type="http://schemas.openxmlformats.org/officeDocument/2006/relationships/hyperlink" Target="/node/1247" TargetMode="External"/><Relationship Id="rId22" Type="http://schemas.openxmlformats.org/officeDocument/2006/relationships/hyperlink" Target="/node/1248" TargetMode="External"/><Relationship Id="rId23" Type="http://schemas.openxmlformats.org/officeDocument/2006/relationships/hyperlink" Target="/node/12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2026-06-12T05:50:30+02:00</dcterms:created>
  <dcterms:modified xsi:type="dcterms:W3CDTF">2026-06-12T05:50:30+02:00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