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Understanding Law as Code</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Law as Code, or the idea that governments ought to develop an official version of legal texts that can be consumed by machines, has become a matter of interest in policymaking and academic circles. This course will introduce the Law as Code concept, underlining its potential whilst also presenting the challenges that need to be overcome for successful implementation. Among other things, participants will explore the importance of semantics in Law as Code applications, delve into implementation approaches, tools, and resources, and consider the legal and ethical principles that ought to guide the use of such systems. </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is addressed to policymakers, policy officers, service managers and IT officials working in policymaking or in public service delivery within the EU institutions and for public administrations in general. </w:t>
      </w:r>
    </w:p>
    <w:p>
      <w:pPr>
        <w:spacing w:line="288" w:lineRule="auto"/>
      </w:pPr>
      <w:r>
        <w:rPr>
          <w:rFonts w:ascii="Arial" w:hAnsi="Arial" w:eastAsia="Arial" w:cs="Arial"/>
          <w:color w:val="000"/>
          <w:sz w:val="18"/>
          <w:szCs w:val="18"/>
          <w:b w:val="1"/>
          <w:bCs w:val="1"/>
        </w:rPr>
        <w:t xml:space="preserve">Learning objectives</w:t>
      </w:r>
    </w:p>
    <w:p>
      <w:pPr>
        <w:spacing w:line="288" w:lineRule="auto"/>
      </w:pPr>
      <w:r>
        <w:rPr>
          <w:rFonts w:ascii="Arial" w:hAnsi="Arial" w:eastAsia="Arial" w:cs="Arial"/>
          <w:color w:val="000"/>
          <w:sz w:val="18"/>
          <w:szCs w:val="18"/>
        </w:rPr>
        <w:t xml:space="preserve">By the end of the course, participants will have a comprehensive understanding of Law as Code and its relationship to digital-ready policymaking. They will grasp the potential benefits of integrating Law as Code into the rulemaking process, acquire valuable insights into the practical implementation of this concept, and acknowledge the necessity of safeguards to ensure responsible use.</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2026-05-25T02:32:08+02:00</dcterms:created>
  <dcterms:modified xsi:type="dcterms:W3CDTF">2026-05-25T02:32:08+02:00</dcterms:modified>
</cp:coreProperties>
</file>

<file path=docProps/custom.xml><?xml version="1.0" encoding="utf-8"?>
<Properties xmlns="http://schemas.openxmlformats.org/officeDocument/2006/custom-properties" xmlns:vt="http://schemas.openxmlformats.org/officeDocument/2006/docPropsVTypes"/>
</file>