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Trustworthy urban digital twins</w:t>
      </w:r>
    </w:p>
    <w:p>
      <w:pPr/>
    </w:p>
    <w:p>
      <w:pPr>
        <w:spacing w:line="288" w:lineRule="auto"/>
      </w:pPr>
      <w:r>
        <w:rPr>
          <w:rFonts w:ascii="Arial" w:hAnsi="Arial" w:eastAsia="Arial" w:cs="Arial"/>
          <w:color w:val="000"/>
          <w:sz w:val="18"/>
          <w:szCs w:val="18"/>
        </w:rPr>
        <w:t xml:space="preserve">Sophie Meszaros presented “Trustworthy Urban Digital Twins” a collaboration between IMEC and SMIT, whom did research around the topics: Mobility, Logistics, Air quality, Noise quality, Sustainability and Infrastructure (e.g.: subsidized group renovations) in the model of Urban Digital Twin. Sophie proceed to explain the concept of initial transformation that occurs when the experts and the public servents start discussing on what is relevant or not and the different points of view collide.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2026-10-11T16:57:12+02:00</dcterms:created>
  <dcterms:modified xsi:type="dcterms:W3CDTF">2026-10-11T16:57:12+02:00</dcterms:modified>
</cp:coreProperties>
</file>

<file path=docProps/custom.xml><?xml version="1.0" encoding="utf-8"?>
<Properties xmlns="http://schemas.openxmlformats.org/officeDocument/2006/custom-properties" xmlns:vt="http://schemas.openxmlformats.org/officeDocument/2006/docPropsVTypes"/>
</file>