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Living Lab essential – how to set up a Living Lab</w:t>
      </w:r>
    </w:p>
    <w:p>
      <w:pPr/>
    </w:p>
    <w:p>
      <w:pPr>
        <w:spacing w:line="288" w:lineRule="auto"/>
      </w:pPr>
      <w:r>
        <w:rPr>
          <w:rFonts w:ascii="Arial" w:hAnsi="Arial" w:eastAsia="Arial" w:cs="Arial"/>
          <w:color w:val="000"/>
          <w:sz w:val="18"/>
          <w:szCs w:val="18"/>
        </w:rPr>
        <w:t xml:space="preserve">In the framework of Horizon Europe, the European Union Programme for Research and Innovation (2021-2027), the European Commission launched the Mission ‘A Soil Deal for Europe’, aiming to establish </w:t>
      </w:r>
      <w:r>
        <w:rPr>
          <w:rFonts w:ascii="Arial" w:hAnsi="Arial" w:eastAsia="Arial" w:cs="Arial"/>
          <w:color w:val="000"/>
          <w:sz w:val="18"/>
          <w:szCs w:val="18"/>
          <w:b w:val="1"/>
          <w:bCs w:val="1"/>
        </w:rPr>
        <w:t xml:space="preserve">100 Living Labs and Lighthouses</w:t>
      </w:r>
      <w:r>
        <w:rPr>
          <w:rFonts w:ascii="Arial" w:hAnsi="Arial" w:eastAsia="Arial" w:cs="Arial"/>
          <w:color w:val="000"/>
          <w:sz w:val="18"/>
          <w:szCs w:val="18"/>
        </w:rPr>
        <w:t xml:space="preserve"> to drive the transition to healthy soils by 2030.  </w:t>
      </w:r>
    </w:p>
    <w:p>
      <w:pPr>
        <w:spacing w:line="288" w:lineRule="auto"/>
      </w:pPr>
      <w:r>
        <w:rPr>
          <w:rFonts w:ascii="Arial" w:hAnsi="Arial" w:eastAsia="Arial" w:cs="Arial"/>
          <w:color w:val="000"/>
          <w:sz w:val="18"/>
          <w:szCs w:val="18"/>
        </w:rPr>
        <w:t xml:space="preserve">The webinar </w:t>
      </w:r>
      <w:r>
        <w:rPr>
          <w:rFonts w:ascii="Arial" w:hAnsi="Arial" w:eastAsia="Arial" w:cs="Arial"/>
          <w:color w:val="000"/>
          <w:sz w:val="18"/>
          <w:szCs w:val="18"/>
          <w:b w:val="1"/>
          <w:bCs w:val="1"/>
        </w:rPr>
        <w:t xml:space="preserve">The Living Lab essentials – how to set up a Living Lab</w:t>
      </w:r>
      <w:r>
        <w:rPr>
          <w:rFonts w:ascii="Arial" w:hAnsi="Arial" w:eastAsia="Arial" w:cs="Arial"/>
          <w:color w:val="000"/>
          <w:sz w:val="18"/>
          <w:szCs w:val="18"/>
        </w:rPr>
        <w:t xml:space="preserve"> took place on </w:t>
      </w:r>
      <w:r>
        <w:rPr>
          <w:rFonts w:ascii="Arial" w:hAnsi="Arial" w:eastAsia="Arial" w:cs="Arial"/>
          <w:color w:val="000"/>
          <w:sz w:val="18"/>
          <w:szCs w:val="18"/>
          <w:b w:val="1"/>
          <w:bCs w:val="1"/>
        </w:rPr>
        <w:t xml:space="preserve">22 June 2023 10:00 – 11:30 CEST</w:t>
      </w:r>
      <w:r>
        <w:rPr>
          <w:rFonts w:ascii="Arial" w:hAnsi="Arial" w:eastAsia="Arial" w:cs="Arial"/>
          <w:color w:val="000"/>
          <w:sz w:val="18"/>
          <w:szCs w:val="18"/>
        </w:rPr>
        <w:t xml:space="preserve">. This first webinar covered all the basic aspects of Living Labs, taking into consideration all land use types and Mission Specific objectives. In particular, speakers explained in detail how to set up a Living Lab, their criteria and essential characteristics as well as how to implement efficient and effective stakeholders’ engagement methodologies and multi-stakeholder partnerships.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2026-06-15T04:06:50+02:00</dcterms:created>
  <dcterms:modified xsi:type="dcterms:W3CDTF">2026-06-15T04:06:50+02:00</dcterms:modified>
</cp:coreProperties>
</file>

<file path=docProps/custom.xml><?xml version="1.0" encoding="utf-8"?>
<Properties xmlns="http://schemas.openxmlformats.org/officeDocument/2006/custom-properties" xmlns:vt="http://schemas.openxmlformats.org/officeDocument/2006/docPropsVTypes"/>
</file>