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Digital Twin of the City of Zurich for Urban Planning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Schrotter, G., Hürzeler, C. The Digital Twin of the City of Zurich for Urban Planning.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PFG</w:t>
      </w:r>
      <w:r>
        <w:rPr>
          <w:rFonts w:ascii="Arial" w:hAnsi="Arial" w:eastAsia="Arial" w:cs="Arial"/>
          <w:color w:val="000"/>
          <w:sz w:val="18"/>
          <w:szCs w:val="18"/>
        </w:rPr>
        <w:t xml:space="preserve"> 88, 99–112 (2020). </w:t>
      </w:r>
      <w:hyperlink r:id="rId7" w:history="1">
        <w:r>
          <w:rPr/>
          <w:t xml:space="preserve">https://doi.org/10.1007/s41064-020-00092-2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article “The Digital Twin of the City of Zurich for Urban Planning” describes how Zurich uses a digital twin built from 3D spatial data to make urban planning more transparent and data-driven. By publishing these datasets as Open Government Data, the city encourages innovation and collaboration. The digital twin supports scenario simulation and analysis, helping decision-makers address challenges such as densification and climate impact, while careful data management ensures reliability over time.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nk.springer.com/article/10.1007/s41064-020-00092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2026-06-10T09:20:21+02:00</dcterms:created>
  <dcterms:modified xsi:type="dcterms:W3CDTF">2026-06-10T09:20:21+02:00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