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Cities with Digital Twin Systems for Disaster Management</w:t>
      </w:r>
    </w:p>
    <w:p>
      <w:pPr/>
    </w:p>
    <w:p>
      <w:pPr>
        <w:spacing w:line="288" w:lineRule="auto"/>
      </w:pPr>
      <w:r>
        <w:rPr>
          <w:rFonts w:ascii="Arial" w:hAnsi="Arial" w:eastAsia="Arial" w:cs="Arial"/>
          <w:color w:val="000"/>
          <w:sz w:val="18"/>
          <w:szCs w:val="18"/>
        </w:rPr>
        <w:t xml:space="preserve">Rodrigo Santos, Juan Manuel Ochoa, Sergio F. Ochoa, Carlos Chesñevar, Chapter 25 - Smart cities with digital twin systems for disaster management, Editor(s): Tuan Anh Nguyen, Digital Twin and Blockchain for Sensor Networks in Smart Cities, Elsevier, 2025, Pages 481-496, ISBN 9780443300769, </w:t>
      </w:r>
      <w:hyperlink r:id="rId7" w:history="1">
        <w:r>
          <w:rPr/>
          <w:t xml:space="preserve">https://doi.org/10.1016/B978-0-443-30076-9.00026-1</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Cities and their supporting infrastructure (e.g., energy supply, water management, transportation, and telecommunications) are becoming larger, more complex, and intertwined. At the same time, climate change poses new challenges for urban populations around the world, increasing the potential impact of extreme events on densely populated areas and calling for better strategies and emergency procedures in disaster management organizations. In recent years, digital twins have emerged as a potent tool for simulating and assessing the functionality of vital urban services and various facets of daily life. Moreover, they offer a means to design, assess, and refine emergency response strategies for addressing significant urban crises. This contribution aligns with the broader goal of fostering smarter and more resilient cities. This chapter delves into the utilization of digital twin systems for addressing preparedness to urban extreme events through the design and evaluation of contingency plans. We conduct an analysis of factors pertinent to characterizing these scenarios within the framework of smart cities, identifying opportunities and challenges for using digital twins with that purpose.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B978-0-443-30076-9.0002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2026-06-12T03:55:17+02:00</dcterms:created>
  <dcterms:modified xsi:type="dcterms:W3CDTF">2026-06-12T03:55:17+02:00</dcterms:modified>
</cp:coreProperties>
</file>

<file path=docProps/custom.xml><?xml version="1.0" encoding="utf-8"?>
<Properties xmlns="http://schemas.openxmlformats.org/officeDocument/2006/custom-properties" xmlns:vt="http://schemas.openxmlformats.org/officeDocument/2006/docPropsVTypes"/>
</file>