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2)</w:t>
      </w:r>
    </w:p>
    <w:p>
      <w:pPr/>
    </w:p>
    <w:p>
      <w:pPr>
        <w:spacing w:line="288" w:lineRule="auto"/>
      </w:pPr>
      <w:r>
        <w:rPr>
          <w:rFonts w:ascii="Arial" w:hAnsi="Arial" w:eastAsia="Arial" w:cs="Arial"/>
          <w:color w:val="000"/>
          <w:sz w:val="18"/>
          <w:szCs w:val="18"/>
        </w:rPr>
        <w:t xml:space="preserve">The data.europa.eu (formerly European Data Portal) team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2 of 3 of the webinar. In this section, we deep dive into insights on how rural open data is used in practice to overcome the open data rural gap. In addition, there is a discussion on how COVID-19 has impacted agricultural open data and that if more open data from rural areas could have helped in mitigating the spread of the pandemic in Europe. Moreover, insights will be shared on how open government data from rural areas can help to shape communities and be used to benchmark development in different areas.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Part 3 consists of Q&amp;As. Watch it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HckRmW7Na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2026-08-12T12:29:28+02:00</dcterms:created>
  <dcterms:modified xsi:type="dcterms:W3CDTF">2026-08-12T12:29:28+02:00</dcterms:modified>
</cp:coreProperties>
</file>

<file path=docProps/custom.xml><?xml version="1.0" encoding="utf-8"?>
<Properties xmlns="http://schemas.openxmlformats.org/officeDocument/2006/custom-properties" xmlns:vt="http://schemas.openxmlformats.org/officeDocument/2006/docPropsVTypes"/>
</file>