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2)</w:t>
      </w:r>
    </w:p>
    <w:p>
      <w:pPr/>
    </w:p>
    <w:p>
      <w:pPr>
        <w:spacing w:line="288" w:lineRule="auto"/>
      </w:pPr>
      <w:r>
        <w:rPr>
          <w:rFonts w:ascii="Arial" w:hAnsi="Arial" w:eastAsia="Arial" w:cs="Arial"/>
          <w:color w:val="000"/>
          <w:sz w:val="18"/>
          <w:szCs w:val="18"/>
        </w:rPr>
        <w:t xml:space="preserve">The data.europa.eu (formerly European Data Portal) team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2 of 3 of the webinar. In this section, we deep dive into insights on how rural open data is used in practice to overcome the open data rural gap. In addition, there is a discussion on how COVID-19 has impacted agricultural open data and that if more open data from rural areas could have helped in mitigating the spread of the pandemic in Europe. Moreover, insights will be shared on how open government data from rural areas can help to shape communities and be used to benchmark development in different areas.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Part 3 consists of Q&amp;As. Watch it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HckRmW7Na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2026-06-27T06:59:29+02:00</dcterms:created>
  <dcterms:modified xsi:type="dcterms:W3CDTF">2026-06-27T06:59:29+02:00</dcterms:modified>
</cp:coreProperties>
</file>

<file path=docProps/custom.xml><?xml version="1.0" encoding="utf-8"?>
<Properties xmlns="http://schemas.openxmlformats.org/officeDocument/2006/custom-properties" xmlns:vt="http://schemas.openxmlformats.org/officeDocument/2006/docPropsVTypes"/>
</file>