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1)</w:t>
      </w:r>
    </w:p>
    <w:p>
      <w:pPr/>
    </w:p>
    <w:p>
      <w:pPr>
        <w:spacing w:line="288" w:lineRule="auto"/>
      </w:pPr>
      <w:r>
        <w:rPr>
          <w:rFonts w:ascii="Arial" w:hAnsi="Arial" w:eastAsia="Arial" w:cs="Arial"/>
          <w:color w:val="000"/>
          <w:sz w:val="18"/>
          <w:szCs w:val="18"/>
        </w:rPr>
        <w:t xml:space="preserve">The data.europa.eu team (formerly European Data Portal)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1 of 3 of the webinar. In this section, the data.europa.eu team introduces the webinar speakers and we deep dive into research on the availability of rural open data and its supply across Europe, and insights into defining what rural is and how digitisation has impacted the availability, access and (re-)use of open rural data.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2026-10-15T13:19:31+02:00</dcterms:created>
  <dcterms:modified xsi:type="dcterms:W3CDTF">2026-10-15T13:19:31+02:00</dcterms:modified>
</cp:coreProperties>
</file>

<file path=docProps/custom.xml><?xml version="1.0" encoding="utf-8"?>
<Properties xmlns="http://schemas.openxmlformats.org/officeDocument/2006/custom-properties" xmlns:vt="http://schemas.openxmlformats.org/officeDocument/2006/docPropsVTypes"/>
</file>