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1)</w:t>
      </w:r>
    </w:p>
    <w:p>
      <w:pPr/>
    </w:p>
    <w:p>
      <w:pPr>
        <w:spacing w:line="288" w:lineRule="auto"/>
      </w:pPr>
      <w:r>
        <w:rPr>
          <w:rFonts w:ascii="Arial" w:hAnsi="Arial" w:eastAsia="Arial" w:cs="Arial"/>
          <w:color w:val="000"/>
          <w:sz w:val="18"/>
          <w:szCs w:val="18"/>
        </w:rPr>
        <w:t xml:space="preserve">The data.europa.eu team (formerly European Data Portal)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1 of 3 of the webinar. In this section, the data.europa.eu team introduces the webinar speakers and we deep dive into research on the availability of rural open data and its supply across Europe, and insights into defining what rural is and how digitisation has impacted the availability, access and (re-)use of open rural data.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2026-05-26T05:47:08+02:00</dcterms:created>
  <dcterms:modified xsi:type="dcterms:W3CDTF">2026-05-26T05:47:08+02:00</dcterms:modified>
</cp:coreProperties>
</file>

<file path=docProps/custom.xml><?xml version="1.0" encoding="utf-8"?>
<Properties xmlns="http://schemas.openxmlformats.org/officeDocument/2006/custom-properties" xmlns:vt="http://schemas.openxmlformats.org/officeDocument/2006/docPropsVTypes"/>
</file>