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Open data for cities and communities</w:t>
      </w:r>
    </w:p>
    <w:p>
      <w:pPr/>
    </w:p>
    <w:p>
      <w:pPr>
        <w:spacing w:line="288" w:lineRule="auto"/>
      </w:pPr>
      <w:r>
        <w:rPr>
          <w:rFonts w:ascii="Arial" w:hAnsi="Arial" w:eastAsia="Arial" w:cs="Arial"/>
          <w:color w:val="000"/>
          <w:sz w:val="18"/>
          <w:szCs w:val="18"/>
        </w:rPr>
        <w:t xml:space="preserve">This free online course, available on the CitybyCity (CxC) Academy, introduces the fundamentals of open data for local authorities. It explains the key principles and best practices that help cities implement open data effectively, drawing on insights and guidance from leading experts in the field.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2026-07-14T06:44:50+02:00</dcterms:created>
  <dcterms:modified xsi:type="dcterms:W3CDTF">2026-07-14T06:44:50+02:00</dcterms:modified>
</cp:coreProperties>
</file>

<file path=docProps/custom.xml><?xml version="1.0" encoding="utf-8"?>
<Properties xmlns="http://schemas.openxmlformats.org/officeDocument/2006/custom-properties" xmlns:vt="http://schemas.openxmlformats.org/officeDocument/2006/docPropsVTypes"/>
</file>