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An introductory course</w:t>
      </w:r>
    </w:p>
    <w:p>
      <w:pPr/>
    </w:p>
    <w:p>
      <w:pPr>
        <w:spacing w:line="288" w:lineRule="auto"/>
      </w:pPr>
      <w:r>
        <w:rPr>
          <w:rFonts w:ascii="Arial" w:hAnsi="Arial" w:eastAsia="Arial" w:cs="Arial"/>
          <w:color w:val="000"/>
          <w:sz w:val="18"/>
          <w:szCs w:val="18"/>
        </w:rPr>
        <w:t xml:space="preserve">This course provides a solid understanding about interoperability, including the need for it, the interoperability environment at high level and the respective initiatives of the European Commission. The course also gives insights on the opportunities that can be leveraged to identify the appropriate interoperability modules for the implementation of the services reusing existing  interoperable solutions.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2026-08-12T12:35:02+02:00</dcterms:created>
  <dcterms:modified xsi:type="dcterms:W3CDTF">2026-08-12T12:35:02+02:00</dcterms:modified>
</cp:coreProperties>
</file>

<file path=docProps/custom.xml><?xml version="1.0" encoding="utf-8"?>
<Properties xmlns="http://schemas.openxmlformats.org/officeDocument/2006/custom-properties" xmlns:vt="http://schemas.openxmlformats.org/officeDocument/2006/docPropsVTypes"/>
</file>