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Interoperability Framework (EIF) Online Training</w:t>
      </w:r>
    </w:p>
    <w:p>
      <w:pPr/>
    </w:p>
    <w:p>
      <w:pPr>
        <w:spacing w:line="288" w:lineRule="auto"/>
      </w:pPr>
      <w:r>
        <w:rPr>
          <w:rFonts w:ascii="Arial" w:hAnsi="Arial" w:eastAsia="Arial" w:cs="Arial"/>
          <w:color w:val="000"/>
          <w:sz w:val="18"/>
          <w:szCs w:val="18"/>
        </w:rPr>
        <w:t xml:space="preserve">The main aim of the course is to provide a solid understanding of the main areas covered by the European Interoperability Framework (EIF) with the goal of achieving fully integrated digital public services by Member States and any public administration. The main intended learning outcomes is to get a good understanding of the main components of the EIF and how to apply them in a real-world scenario, thanks to a practical case. The course is meant to be accessed by different profiles working in the digitalisation and integration of public services domain, i.e. policy makers, professionals, academics, civil servants.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2026-06-01T23:40:02+02:00</dcterms:created>
  <dcterms:modified xsi:type="dcterms:W3CDTF">2026-06-01T23:40:02+02:00</dcterms:modified>
</cp:coreProperties>
</file>

<file path=docProps/custom.xml><?xml version="1.0" encoding="utf-8"?>
<Properties xmlns="http://schemas.openxmlformats.org/officeDocument/2006/custom-properties" xmlns:vt="http://schemas.openxmlformats.org/officeDocument/2006/docPropsVTypes"/>
</file>