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MIMs Plus version 7 (2024)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Technical Working Group</w:t>
      </w:r>
      <w:r>
        <w:rPr>
          <w:rFonts w:ascii="Arial" w:hAnsi="Arial" w:eastAsia="Arial" w:cs="Arial"/>
          <w:color w:val="000"/>
          <w:sz w:val="18"/>
          <w:szCs w:val="18"/>
        </w:rPr>
        <w:t xml:space="preserve"> oversees the overall development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. The development of individual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carried out within dedicated working groups that are open to participation by all Living-in.EU members. At the end of each academic year, a new version of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MIMs Plus</w:t>
      </w:r>
      <w:r>
        <w:rPr>
          <w:rFonts w:ascii="Arial" w:hAnsi="Arial" w:eastAsia="Arial" w:cs="Arial"/>
          <w:color w:val="000"/>
          <w:sz w:val="18"/>
          <w:szCs w:val="18"/>
        </w:rPr>
        <w:t xml:space="preserve"> is released. If you have any questions please contact the Living-in.EU Technical Working Group Chair: sophie@oascities.org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2026-10-13T08:28:14+02:00</dcterms:created>
  <dcterms:modified xsi:type="dcterms:W3CDTF">2026-10-13T08:28:14+02:00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