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Second Half of the Digital Decade and a new EU Commission: What matters, and what’s next?</w:t>
      </w:r>
    </w:p>
    <w:p>
      <w:pPr/>
    </w:p>
    <w:p>
      <w:pPr>
        <w:pStyle w:val="Heading2"/>
      </w:pPr>
      <w:r>
        <w:rPr/>
        <w:t xml:space="preserve">Objectives of the Workshop</w:t>
      </w:r>
    </w:p>
    <w:p>
      <w:pPr>
        <w:numPr>
          <w:ilvl w:val="0"/>
          <w:numId w:val="1"/>
        </w:numPr>
      </w:pPr>
      <w:r>
        <w:rPr/>
        <w:t xml:space="preserve">Gather and discuss perceptions of where EU citizens and businesses stand on issues related to the EU’s digital transformation;</w:t>
      </w:r>
    </w:p>
    <w:p>
      <w:pPr>
        <w:numPr>
          <w:ilvl w:val="0"/>
          <w:numId w:val="1"/>
        </w:numPr>
      </w:pPr>
      <w:r>
        <w:rPr/>
        <w:t xml:space="preserve">Connect the 2024 State of the Digital Decade report and the next 2025 State of the Digital Decade Report with EU citizens and businesses’ concerns, and communicate on the solutions that innovators are developing;</w:t>
      </w:r>
    </w:p>
    <w:p>
      <w:pPr>
        <w:numPr>
          <w:ilvl w:val="0"/>
          <w:numId w:val="1"/>
        </w:numPr>
      </w:pPr>
      <w:r>
        <w:rPr/>
        <w:t xml:space="preserve">Reflect on and discuss the priorities of the next EU mandate related to the digital transformation, including competitiveness and the green transition;</w:t>
      </w:r>
    </w:p>
    <w:p>
      <w:pPr>
        <w:numPr>
          <w:ilvl w:val="0"/>
          <w:numId w:val="1"/>
        </w:numPr>
      </w:pPr>
      <w:r>
        <w:rPr/>
        <w:t xml:space="preserve">Communicate about the Digital Decade in the context of the new EU mandate, to raise awareness about the usefulness of the Digital Decade Policy Programme (DDPP), including by showcasing how it connects with people and ‘on the ground’ realities.</w:t>
      </w:r>
    </w:p>
    <w:p>
      <w:pPr>
        <w:pStyle w:val="Heading2"/>
      </w:pPr>
      <w:r>
        <w:rPr/>
        <w:t xml:space="preserve">Questions for Discussion</w:t>
      </w:r>
    </w:p>
    <w:p>
      <w:pPr>
        <w:numPr>
          <w:ilvl w:val="0"/>
          <w:numId w:val="2"/>
        </w:numPr>
      </w:pPr>
      <w:r>
        <w:rPr/>
        <w:t xml:space="preserve">How can the EU deliver a digital transformation for this Decade and beyond:	</w:t>
      </w:r>
      <w:r>
        <w:rPr/>
        <w:t xml:space="preserve">	</w:t>
      </w:r>
    </w:p>
    <w:p>
      <w:pPr>
        <w:numPr>
          <w:ilvl w:val="1"/>
          <w:numId w:val="2"/>
        </w:numPr>
      </w:pPr>
      <w:r>
        <w:rPr/>
        <w:t xml:space="preserve">With solutions that can help Europe raise its competitiveness?</w:t>
      </w:r>
    </w:p>
    <w:p>
      <w:pPr>
        <w:numPr>
          <w:ilvl w:val="1"/>
          <w:numId w:val="2"/>
        </w:numPr>
      </w:pPr>
      <w:r>
        <w:rPr/>
        <w:t xml:space="preserve">With concrete examples that can be found in Europe, which can help unlock the potential of digital technologies for the green transition?</w:t>
      </w:r>
    </w:p>
    <w:p>
      <w:pPr>
        <w:numPr>
          <w:ilvl w:val="1"/>
          <w:numId w:val="2"/>
        </w:numPr>
      </w:pPr>
      <w:r>
        <w:rPr/>
        <w:t xml:space="preserve">With concrete solutions that work hand in hand with the needs and expectations of the Union’s citizens and enterprises?</w:t>
      </w:r>
    </w:p>
    <w:p>
      <w:pPr>
        <w:pStyle w:val="Heading2"/>
      </w:pPr>
      <w:r>
        <w:rPr/>
        <w:t xml:space="preserve">Format</w:t>
      </w:r>
    </w:p>
    <w:p>
      <w:pPr>
        <w:spacing w:line="288" w:lineRule="auto"/>
      </w:pPr>
      <w:r>
        <w:rPr>
          <w:rFonts w:ascii="Arial" w:hAnsi="Arial" w:eastAsia="Arial" w:cs="Arial"/>
          <w:color w:val="000"/>
          <w:sz w:val="18"/>
          <w:szCs w:val="18"/>
        </w:rPr>
        <w:t xml:space="preserve">For each ‘pillar’, we would invite a number of experts to give the impulse for discussion, with reactions from selected representatives.</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10:00 – 10:15 </w:t>
      </w:r>
      <w:r>
        <w:rPr>
          <w:rFonts w:ascii="Arial" w:hAnsi="Arial" w:eastAsia="Arial" w:cs="Arial"/>
          <w:color w:val="000"/>
          <w:sz w:val="18"/>
          <w:szCs w:val="18"/>
        </w:rPr>
        <w:t xml:space="preserve">Introduction by the European Commission on the Digital Decade Policy Programme &amp; results of the second Digital Decade report (+ EU priorities) - Speaker TBC</w:t>
      </w:r>
    </w:p>
    <w:p>
      <w:pPr>
        <w:spacing w:line="288" w:lineRule="auto"/>
      </w:pPr>
      <w:r>
        <w:rPr>
          <w:rFonts w:ascii="Arial" w:hAnsi="Arial" w:eastAsia="Arial" w:cs="Arial"/>
          <w:color w:val="000"/>
          <w:sz w:val="18"/>
          <w:szCs w:val="18"/>
          <w:b w:val="1"/>
          <w:bCs w:val="1"/>
        </w:rPr>
        <w:t xml:space="preserve">10:15 – 10:30</w:t>
      </w:r>
      <w:r>
        <w:rPr>
          <w:rFonts w:ascii="Arial" w:hAnsi="Arial" w:eastAsia="Arial" w:cs="Arial"/>
          <w:color w:val="000"/>
          <w:sz w:val="18"/>
          <w:szCs w:val="18"/>
        </w:rPr>
        <w:t xml:space="preserve"> Keynote – Marietje Schaake, non-resident Fellow at Stanford's Cyber Policy Center and at the Institute for Human-Centered AI</w:t>
      </w:r>
    </w:p>
    <w:p>
      <w:pPr>
        <w:spacing w:line="288" w:lineRule="auto"/>
      </w:pPr>
      <w:r>
        <w:rPr>
          <w:rFonts w:ascii="Arial" w:hAnsi="Arial" w:eastAsia="Arial" w:cs="Arial"/>
          <w:color w:val="000"/>
          <w:sz w:val="18"/>
          <w:szCs w:val="18"/>
          <w:b w:val="1"/>
          <w:bCs w:val="1"/>
        </w:rPr>
        <w:t xml:space="preserve">10:30 – 11:45 </w:t>
      </w:r>
      <w:r>
        <w:rPr>
          <w:rFonts w:ascii="Arial" w:hAnsi="Arial" w:eastAsia="Arial" w:cs="Arial"/>
          <w:color w:val="000"/>
          <w:sz w:val="18"/>
          <w:szCs w:val="18"/>
        </w:rPr>
        <w:t xml:space="preserve">- The role of the EU’s digital transformation in </w:t>
      </w:r>
      <w:r>
        <w:rPr>
          <w:rFonts w:ascii="Arial" w:hAnsi="Arial" w:eastAsia="Arial" w:cs="Arial"/>
          <w:color w:val="000"/>
          <w:sz w:val="18"/>
          <w:szCs w:val="18"/>
          <w:b w:val="1"/>
          <w:bCs w:val="1"/>
        </w:rPr>
        <w:t xml:space="preserve">strategic sovereignty and resilience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3"/>
        </w:numPr>
      </w:pPr>
      <w:r>
        <w:rPr/>
        <w:t xml:space="preserve">Paloma Lopez-Garcia, Adviser at the Economics Directorate, European Central Bank</w:t>
      </w:r>
    </w:p>
    <w:p>
      <w:pPr>
        <w:numPr>
          <w:ilvl w:val="0"/>
          <w:numId w:val="3"/>
        </w:numPr>
      </w:pPr>
      <w:r>
        <w:rPr/>
        <w:t xml:space="preserve">Solveigh Hieronimus, Senior Partner, McKinsey</w:t>
      </w:r>
    </w:p>
    <w:p>
      <w:pPr>
        <w:spacing w:line="288" w:lineRule="auto"/>
      </w:pPr>
      <w:r>
        <w:rPr>
          <w:rFonts w:ascii="Arial" w:hAnsi="Arial" w:eastAsia="Arial" w:cs="Arial"/>
          <w:color w:val="000"/>
          <w:sz w:val="18"/>
          <w:szCs w:val="18"/>
          <w:b w:val="1"/>
          <w:bCs w:val="1"/>
        </w:rPr>
        <w:t xml:space="preserve">Reactions from:</w:t>
      </w:r>
    </w:p>
    <w:p>
      <w:pPr>
        <w:numPr>
          <w:ilvl w:val="0"/>
          <w:numId w:val="4"/>
        </w:numPr>
      </w:pPr>
      <w:r>
        <w:rPr/>
        <w:t xml:space="preserve">Anthony Gooch Gálvez, Secretary General, European Round Table for Industry</w:t>
      </w:r>
    </w:p>
    <w:p>
      <w:pPr>
        <w:numPr>
          <w:ilvl w:val="0"/>
          <w:numId w:val="4"/>
        </w:numPr>
      </w:pPr>
      <w:r>
        <w:rPr/>
        <w:t xml:space="preserve">Pawel Swieboda, Senior Fellow, European Policy Centre and Senior Fellow, International Centre for Future Generations</w:t>
      </w:r>
    </w:p>
    <w:p>
      <w:pPr>
        <w:numPr>
          <w:ilvl w:val="0"/>
          <w:numId w:val="4"/>
        </w:numPr>
      </w:pPr>
      <w:r>
        <w:rPr/>
        <w:t xml:space="preserve">Jean Gil Barroca, Global Public Sector Digital Modernisation Lead, Deloitte</w:t>
      </w:r>
    </w:p>
    <w:p>
      <w:pPr>
        <w:spacing w:line="288" w:lineRule="auto"/>
      </w:pPr>
      <w:r>
        <w:rPr>
          <w:rFonts w:ascii="Arial" w:hAnsi="Arial" w:eastAsia="Arial" w:cs="Arial"/>
          <w:color w:val="000"/>
          <w:sz w:val="18"/>
          <w:szCs w:val="18"/>
          <w:b w:val="1"/>
          <w:bCs w:val="1"/>
        </w:rPr>
        <w:t xml:space="preserve">11:45 – 12:00</w:t>
      </w:r>
      <w:r>
        <w:rPr>
          <w:rFonts w:ascii="Arial" w:hAnsi="Arial" w:eastAsia="Arial" w:cs="Arial"/>
          <w:color w:val="000"/>
          <w:sz w:val="18"/>
          <w:szCs w:val="18"/>
        </w:rPr>
        <w:t xml:space="preserve"> - Coffee break</w:t>
      </w:r>
    </w:p>
    <w:p>
      <w:pPr>
        <w:spacing w:line="288" w:lineRule="auto"/>
      </w:pPr>
      <w:r>
        <w:rPr>
          <w:rFonts w:ascii="Arial" w:hAnsi="Arial" w:eastAsia="Arial" w:cs="Arial"/>
          <w:color w:val="000"/>
          <w:sz w:val="18"/>
          <w:szCs w:val="18"/>
          <w:b w:val="1"/>
          <w:bCs w:val="1"/>
        </w:rPr>
        <w:t xml:space="preserve">12:00 – 13:15 - </w:t>
      </w:r>
      <w:r>
        <w:rPr>
          <w:rFonts w:ascii="Arial" w:hAnsi="Arial" w:eastAsia="Arial" w:cs="Arial"/>
          <w:color w:val="000"/>
          <w:sz w:val="18"/>
          <w:szCs w:val="18"/>
        </w:rPr>
        <w:t xml:space="preserve">Twinning the transition to enhance EU competitiveness in the </w:t>
      </w:r>
      <w:r>
        <w:rPr>
          <w:rFonts w:ascii="Arial" w:hAnsi="Arial" w:eastAsia="Arial" w:cs="Arial"/>
          <w:color w:val="000"/>
          <w:sz w:val="18"/>
          <w:szCs w:val="18"/>
          <w:b w:val="1"/>
          <w:bCs w:val="1"/>
        </w:rPr>
        <w:t xml:space="preserve">green and digital economy</w:t>
      </w:r>
    </w:p>
    <w:p>
      <w:pPr>
        <w:spacing w:line="288" w:lineRule="auto"/>
      </w:pPr>
      <w:r>
        <w:rPr>
          <w:rFonts w:ascii="Arial" w:hAnsi="Arial" w:eastAsia="Arial" w:cs="Arial"/>
          <w:color w:val="000"/>
          <w:sz w:val="18"/>
          <w:szCs w:val="18"/>
          <w:b w:val="1"/>
          <w:bCs w:val="1"/>
        </w:rPr>
        <w:t xml:space="preserve">Speakers:</w:t>
      </w:r>
    </w:p>
    <w:p>
      <w:pPr>
        <w:numPr>
          <w:ilvl w:val="0"/>
          <w:numId w:val="5"/>
        </w:numPr>
      </w:pPr>
      <w:r>
        <w:rPr/>
        <w:t xml:space="preserve">Siddharth Singh, Energy Investment Analyst, Energy and AI, International Energy Agency (IEA)</w:t>
      </w:r>
    </w:p>
    <w:p>
      <w:pPr>
        <w:numPr>
          <w:ilvl w:val="0"/>
          <w:numId w:val="5"/>
        </w:numPr>
      </w:pPr>
      <w:r>
        <w:rPr/>
        <w:t xml:space="preserve">Cathy Li, Head, AI, Data and Metaverse; Member of the Executive Committee, World Economic Forum</w:t>
      </w:r>
    </w:p>
    <w:p>
      <w:pPr>
        <w:spacing w:line="288" w:lineRule="auto"/>
      </w:pPr>
      <w:r>
        <w:rPr>
          <w:rFonts w:ascii="Arial" w:hAnsi="Arial" w:eastAsia="Arial" w:cs="Arial"/>
          <w:color w:val="000"/>
          <w:sz w:val="18"/>
          <w:szCs w:val="18"/>
          <w:b w:val="1"/>
          <w:bCs w:val="1"/>
        </w:rPr>
        <w:t xml:space="preserve">Reactions from:</w:t>
      </w:r>
    </w:p>
    <w:p>
      <w:pPr>
        <w:numPr>
          <w:ilvl w:val="0"/>
          <w:numId w:val="6"/>
        </w:numPr>
      </w:pPr>
      <w:r>
        <w:rPr/>
        <w:t xml:space="preserve">Kat Borlongan, European Innovation Council Board Member</w:t>
      </w:r>
    </w:p>
    <w:p>
      <w:pPr>
        <w:numPr>
          <w:ilvl w:val="0"/>
          <w:numId w:val="6"/>
        </w:numPr>
      </w:pPr>
      <w:r>
        <w:rPr/>
        <w:t xml:space="preserve">Alexandra Paul, Global Public Policy Lead, PASQAL</w:t>
      </w:r>
    </w:p>
    <w:p>
      <w:pPr>
        <w:numPr>
          <w:ilvl w:val="0"/>
          <w:numId w:val="6"/>
        </w:numPr>
      </w:pPr>
      <w:r>
        <w:rPr/>
        <w:t xml:space="preserve">Ilias Iakovidis, Adviser, Digital aspects of the green transition, European Commission</w:t>
      </w:r>
    </w:p>
    <w:p>
      <w:pPr>
        <w:spacing w:line="288" w:lineRule="auto"/>
      </w:pPr>
      <w:r>
        <w:rPr>
          <w:rFonts w:ascii="Arial" w:hAnsi="Arial" w:eastAsia="Arial" w:cs="Arial"/>
          <w:color w:val="000"/>
          <w:sz w:val="18"/>
          <w:szCs w:val="18"/>
          <w:b w:val="1"/>
          <w:bCs w:val="1"/>
        </w:rPr>
        <w:t xml:space="preserve">13:15 – 14:15 </w:t>
      </w:r>
      <w:r>
        <w:rPr>
          <w:rFonts w:ascii="Arial" w:hAnsi="Arial" w:eastAsia="Arial" w:cs="Arial"/>
          <w:color w:val="000"/>
          <w:sz w:val="18"/>
          <w:szCs w:val="18"/>
        </w:rPr>
        <w:t xml:space="preserve">- Break</w:t>
      </w:r>
    </w:p>
    <w:p>
      <w:pPr>
        <w:spacing w:line="288" w:lineRule="auto"/>
      </w:pPr>
      <w:r>
        <w:rPr>
          <w:rFonts w:ascii="Arial" w:hAnsi="Arial" w:eastAsia="Arial" w:cs="Arial"/>
          <w:color w:val="000"/>
          <w:sz w:val="18"/>
          <w:szCs w:val="18"/>
          <w:b w:val="1"/>
          <w:bCs w:val="1"/>
        </w:rPr>
        <w:t xml:space="preserve">14:15 – 15:30 </w:t>
      </w:r>
      <w:r>
        <w:rPr>
          <w:rFonts w:ascii="Arial" w:hAnsi="Arial" w:eastAsia="Arial" w:cs="Arial"/>
          <w:color w:val="000"/>
          <w:sz w:val="18"/>
          <w:szCs w:val="18"/>
        </w:rPr>
        <w:t xml:space="preserve">-  A new digital deal for </w:t>
      </w:r>
      <w:r>
        <w:rPr>
          <w:rFonts w:ascii="Arial" w:hAnsi="Arial" w:eastAsia="Arial" w:cs="Arial"/>
          <w:color w:val="000"/>
          <w:sz w:val="18"/>
          <w:szCs w:val="18"/>
          <w:b w:val="1"/>
          <w:bCs w:val="1"/>
        </w:rPr>
        <w:t xml:space="preserve">Europeans</w:t>
      </w:r>
    </w:p>
    <w:p>
      <w:pPr>
        <w:spacing w:line="288" w:lineRule="auto"/>
      </w:pPr>
      <w:r>
        <w:rPr>
          <w:rFonts w:ascii="Arial" w:hAnsi="Arial" w:eastAsia="Arial" w:cs="Arial"/>
          <w:color w:val="000"/>
          <w:sz w:val="18"/>
          <w:szCs w:val="18"/>
          <w:b w:val="1"/>
          <w:bCs w:val="1"/>
        </w:rPr>
        <w:t xml:space="preserve">Speakers:</w:t>
      </w:r>
    </w:p>
    <w:p>
      <w:pPr>
        <w:numPr>
          <w:ilvl w:val="0"/>
          <w:numId w:val="7"/>
        </w:numPr>
      </w:pPr>
      <w:r>
        <w:rPr/>
        <w:t xml:space="preserve">Mar Negreiro, Policy Analyst, Digital Policies Unit, European Parliament Research Service</w:t>
      </w:r>
    </w:p>
    <w:p>
      <w:pPr>
        <w:numPr>
          <w:ilvl w:val="0"/>
          <w:numId w:val="7"/>
        </w:numPr>
      </w:pPr>
      <w:r>
        <w:rPr/>
        <w:t xml:space="preserve">André Sobczak, Secretary General, Eurocities</w:t>
      </w:r>
    </w:p>
    <w:p>
      <w:pPr>
        <w:numPr>
          <w:ilvl w:val="0"/>
          <w:numId w:val="7"/>
        </w:numPr>
      </w:pPr>
      <w:r>
        <w:rPr/>
        <w:t xml:space="preserve">Christine Tresignie, Managing Director, European Public Affairs, Ipsos Belgium</w:t>
      </w:r>
    </w:p>
    <w:p>
      <w:pPr>
        <w:spacing w:line="288" w:lineRule="auto"/>
      </w:pPr>
      <w:r>
        <w:rPr>
          <w:rFonts w:ascii="Arial" w:hAnsi="Arial" w:eastAsia="Arial" w:cs="Arial"/>
          <w:color w:val="000"/>
          <w:sz w:val="18"/>
          <w:szCs w:val="18"/>
          <w:b w:val="1"/>
          <w:bCs w:val="1"/>
        </w:rPr>
        <w:t xml:space="preserve">Reactions from:</w:t>
      </w:r>
    </w:p>
    <w:p>
      <w:pPr>
        <w:numPr>
          <w:ilvl w:val="0"/>
          <w:numId w:val="8"/>
        </w:numPr>
      </w:pPr>
      <w:r>
        <w:rPr/>
        <w:t xml:space="preserve">Katrīna Zariņa, EESC Rapporteur on the evaluation of the Digital Europe Programme and Management Board member of the Latvian Chamber of Commerce and Industry</w:t>
      </w:r>
    </w:p>
    <w:p>
      <w:pPr>
        <w:numPr>
          <w:ilvl w:val="0"/>
          <w:numId w:val="8"/>
        </w:numPr>
      </w:pPr>
      <w:r>
        <w:rPr/>
        <w:t xml:space="preserve">Rian van Dam, Mayor Hollands Kroon (NL) &amp; Vice-Chair Commission Information Society, Association of Dutch municipalities (VNG)</w:t>
      </w:r>
    </w:p>
    <w:p>
      <w:pPr>
        <w:spacing w:line="288" w:lineRule="auto"/>
      </w:pPr>
      <w:r>
        <w:rPr>
          <w:rFonts w:ascii="Arial" w:hAnsi="Arial" w:eastAsia="Arial" w:cs="Arial"/>
          <w:color w:val="000"/>
          <w:sz w:val="18"/>
          <w:szCs w:val="18"/>
          <w:b w:val="1"/>
          <w:bCs w:val="1"/>
        </w:rPr>
        <w:t xml:space="preserve">15:30 – 15:45</w:t>
      </w:r>
      <w:r>
        <w:rPr>
          <w:rFonts w:ascii="Arial" w:hAnsi="Arial" w:eastAsia="Arial" w:cs="Arial"/>
          <w:color w:val="000"/>
          <w:sz w:val="18"/>
          <w:szCs w:val="18"/>
        </w:rPr>
        <w:t xml:space="preserve"> - Conclusions and closing by the European Commission - Speaker TBC</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More information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4905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C09EE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ACCA5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2824B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5AF05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15CD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ABA45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F7E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digital-decade-strategic-worksh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2026-07-14T04:57:48+02:00</dcterms:created>
  <dcterms:modified xsi:type="dcterms:W3CDTF">2026-07-14T04:57:48+02:00</dcterms:modified>
</cp:coreProperties>
</file>

<file path=docProps/custom.xml><?xml version="1.0" encoding="utf-8"?>
<Properties xmlns="http://schemas.openxmlformats.org/officeDocument/2006/custom-properties" xmlns:vt="http://schemas.openxmlformats.org/officeDocument/2006/docPropsVTypes"/>
</file>