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services for Europe - Practical atrategy toward citizen-centred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Digital Services for Europe is a practical strategy-building toolkit that helps ministers, mayors and directors (Chief Digital Officers and Chief Executive Officers) of municipalities and EU Member States to move towards a social and technical roadmap for digital services for all its citizens, in which collaboration at all levels of government and private sector are further enabled.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aims at realizing user-friendly and cost-effective services that are citizen-centered, where people have insight into and control over their data.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toolkit brings good-practices from across the EU together into concrete steps that you can take towards an ecosystem for the development and implementation of citizen-centric digital services, starting today. Digital Services for Europe consists of multiple instruments, that offer knowledge, insight and applicability:</w:t>
      </w:r>
    </w:p>
    <w:p>
      <w:pPr>
        <w:numPr>
          <w:ilvl w:val="0"/>
          <w:numId w:val="1"/>
        </w:numPr>
      </w:pPr>
      <w:r>
        <w:rPr/>
        <w:t xml:space="preserve">A set of building blocks that, together, cover all aspects of an ecosystem for citizen-centered digital services and essentially are the components of the modular strategy;</w:t>
      </w:r>
    </w:p>
    <w:p>
      <w:pPr>
        <w:numPr>
          <w:ilvl w:val="0"/>
          <w:numId w:val="1"/>
        </w:numPr>
      </w:pPr>
      <w:r>
        <w:rPr/>
        <w:t xml:space="preserve">A survey through which municipalities and Member States can determine their current position, as a starting point from which they can build their strategy;</w:t>
      </w:r>
    </w:p>
    <w:p>
      <w:pPr>
        <w:numPr>
          <w:ilvl w:val="0"/>
          <w:numId w:val="1"/>
        </w:numPr>
      </w:pPr>
      <w:r>
        <w:rPr/>
        <w:t xml:space="preserve">A dynamic roadmap tool that uses the survey results to provide a local-context roadmap for the elements and implementation steps for Member States and municipalities to move forward.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strategy combines technical as well as social aspects, and addresses these from both a political and an organizational perspective. </w:t>
      </w:r>
      <w:hyperlink r:id="rId7" w:history="1">
        <w:r>
          <w:rPr/>
          <w:t xml:space="preserve">Download the toolkit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DBAB1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digital-services-for-europe-definitief-documen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2026-05-25T20:17:45+02:00</dcterms:created>
  <dcterms:modified xsi:type="dcterms:W3CDTF">2026-05-25T20:17:45+02:00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