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 and implementation of Mutual Learning Communities</w:t>
      </w:r>
    </w:p>
    <w:p>
      <w:pPr/>
    </w:p>
    <w:p>
      <w:pPr>
        <w:spacing w:line="288" w:lineRule="auto"/>
      </w:pPr>
      <w:r>
        <w:rPr>
          <w:rFonts w:ascii="Arial" w:hAnsi="Arial" w:eastAsia="Arial" w:cs="Arial"/>
          <w:color w:val="000"/>
          <w:sz w:val="18"/>
          <w:szCs w:val="18"/>
        </w:rPr>
        <w:t xml:space="preserve">This DT4REGIONS Mutual Learning Community provides an entry point in the topic of Design and Implementation of Mutual Learning Communites. You can find learning materials, access related content on the DT4REGIONS Platform, engage in a dedicated forum disucssion and exchange with users working on the topic.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2026-10-11T21:57:27+02:00</dcterms:created>
  <dcterms:modified xsi:type="dcterms:W3CDTF">2026-10-11T21:57:27+02:00</dcterms:modified>
</cp:coreProperties>
</file>

<file path=docProps/custom.xml><?xml version="1.0" encoding="utf-8"?>
<Properties xmlns="http://schemas.openxmlformats.org/officeDocument/2006/custom-properties" xmlns:vt="http://schemas.openxmlformats.org/officeDocument/2006/docPropsVTypes"/>
</file>