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Blueprint | Version 2.0</w:t>
      </w:r>
    </w:p>
    <w:p>
      <w:pPr/>
    </w:p>
    <w:p>
      <w:pPr>
        <w:spacing w:line="288" w:lineRule="auto"/>
      </w:pPr>
      <w:r>
        <w:rPr>
          <w:rFonts w:ascii="Arial" w:hAnsi="Arial" w:eastAsia="Arial" w:cs="Arial"/>
          <w:color w:val="000"/>
          <w:sz w:val="18"/>
          <w:szCs w:val="18"/>
        </w:rPr>
        <w:t xml:space="preserve">The “Data Spaces Blueprint | Version 2.0”, published by the</w:t>
      </w:r>
      <w:hyperlink r:id="rId7" w:history="1">
        <w:r>
          <w:rPr/>
          <w:t xml:space="preserve"> Data Spaces Support Centre</w:t>
        </w:r>
      </w:hyperlink>
      <w:r>
        <w:rPr>
          <w:rFonts w:ascii="Arial" w:hAnsi="Arial" w:eastAsia="Arial" w:cs="Arial"/>
          <w:color w:val="000"/>
          <w:sz w:val="18"/>
          <w:szCs w:val="18"/>
        </w:rPr>
        <w:t xml:space="preserve">, provides a consistent and comprehensive set of guidelines to support the entire development cycle of data spaces.</w:t>
      </w:r>
    </w:p>
    <w:p>
      <w:pPr>
        <w:spacing w:line="288" w:lineRule="auto"/>
      </w:pPr>
      <w:r>
        <w:rPr>
          <w:rFonts w:ascii="Arial" w:hAnsi="Arial" w:eastAsia="Arial" w:cs="Arial"/>
          <w:color w:val="000"/>
          <w:sz w:val="18"/>
          <w:szCs w:val="18"/>
        </w:rPr>
        <w:t xml:space="preserve">These guidelines aim to achieve three things:</w:t>
      </w:r>
    </w:p>
    <w:p>
      <w:pPr>
        <w:numPr>
          <w:ilvl w:val="0"/>
          <w:numId w:val="1"/>
        </w:numPr>
      </w:pPr>
      <w:r>
        <w:rPr/>
        <w:t xml:space="preserve">Accelerate and get to a ‘higher flight level’ more quickly: We aim to speed up the development and growth of data spaces by providing standards and best practices. We want to provide you with common ground so you can focus on the business challenges relating to your particular domain or initiative, instead of having to focus on underlying technical and operational challenges.</w:t>
      </w:r>
    </w:p>
    <w:p>
      <w:pPr>
        <w:numPr>
          <w:ilvl w:val="0"/>
          <w:numId w:val="1"/>
        </w:numPr>
      </w:pPr>
      <w:r>
        <w:rPr/>
        <w:t xml:space="preserve">Protect investments: Setting up a data space and developing the necessary technology can be costly. The Blueprint enables you to make informed choices and increase your market reach.</w:t>
      </w:r>
    </w:p>
    <w:p>
      <w:pPr>
        <w:numPr>
          <w:ilvl w:val="0"/>
          <w:numId w:val="1"/>
        </w:numPr>
      </w:pPr>
      <w:r>
        <w:rPr/>
        <w:t xml:space="preserve">Facilitate interoperability: Many organisations need to join multiple data spaces, and individual data spaces need to collaborate in different regions and industries. We want to facilitate such collaborations.</w:t>
      </w:r>
    </w:p>
    <w:p>
      <w:pPr>
        <w:spacing w:line="288" w:lineRule="auto"/>
      </w:pPr>
      <w:r>
        <w:rPr>
          <w:rFonts w:ascii="Arial" w:hAnsi="Arial" w:eastAsia="Arial" w:cs="Arial"/>
          <w:color w:val="000"/>
          <w:sz w:val="18"/>
          <w:szCs w:val="18"/>
        </w:rPr>
        <w:t xml:space="preserve">Whether you are a business looking to expand data-driven services, a public institution ensuring data sovereignty, or a technology provider building interoperable solutions, the Blueprint offers structured guidance for success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100F35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2026-07-18T10:14:21+02:00</dcterms:created>
  <dcterms:modified xsi:type="dcterms:W3CDTF">2026-07-18T10:14:21+02:00</dcterms:modified>
</cp:coreProperties>
</file>

<file path=docProps/custom.xml><?xml version="1.0" encoding="utf-8"?>
<Properties xmlns="http://schemas.openxmlformats.org/officeDocument/2006/custom-properties" xmlns:vt="http://schemas.openxmlformats.org/officeDocument/2006/docPropsVTypes"/>
</file>